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6" w:rsidRDefault="000F25B0" w:rsidP="00F16916">
      <w:pPr>
        <w:spacing w:line="276" w:lineRule="auto"/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-180975</wp:posOffset>
            </wp:positionV>
            <wp:extent cx="1171575" cy="1057275"/>
            <wp:effectExtent l="0" t="0" r="9525" b="9525"/>
            <wp:wrapNone/>
            <wp:docPr id="4" name="Picture 2" descr="stacke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FB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-38100</wp:posOffset>
                </wp:positionV>
                <wp:extent cx="5575935" cy="809625"/>
                <wp:effectExtent l="15240" t="13335" r="28575" b="438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8096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16916" w:rsidRPr="005518F0" w:rsidRDefault="00F16916" w:rsidP="00F169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8F0">
                              <w:rPr>
                                <w:sz w:val="28"/>
                                <w:szCs w:val="28"/>
                              </w:rPr>
                              <w:t>Student Teaching</w:t>
                            </w:r>
                          </w:p>
                          <w:p w:rsidR="00F16916" w:rsidRPr="005518F0" w:rsidRDefault="00F16916" w:rsidP="00F169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18F0">
                              <w:rPr>
                                <w:sz w:val="36"/>
                                <w:szCs w:val="36"/>
                              </w:rPr>
                              <w:t>Candidate Reflection Sheet</w:t>
                            </w:r>
                          </w:p>
                          <w:p w:rsidR="00F16916" w:rsidRPr="005518F0" w:rsidRDefault="00F16916" w:rsidP="00F169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18F0">
                              <w:rPr>
                                <w:sz w:val="20"/>
                                <w:szCs w:val="20"/>
                              </w:rPr>
                              <w:t>Candidate completes after each observation conference—1/week.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95pt;margin-top:-3pt;width:43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" fillcolor="#d8d8d8" strokecolor="#0d0d0d" strokeweight="1.5pt">
                <v:shadow on="t" color="#622423" opacity=".5" offset="1pt"/>
                <v:textbox>
                  <w:txbxContent>
                    <w:p w:rsidR="00F16916" w:rsidRPr="005518F0" w:rsidRDefault="00F16916" w:rsidP="00F169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8F0">
                        <w:rPr>
                          <w:sz w:val="28"/>
                          <w:szCs w:val="28"/>
                        </w:rPr>
                        <w:t>Student Teaching</w:t>
                      </w:r>
                    </w:p>
                    <w:p w:rsidR="00F16916" w:rsidRPr="005518F0" w:rsidRDefault="00F16916" w:rsidP="00F169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518F0">
                        <w:rPr>
                          <w:sz w:val="36"/>
                          <w:szCs w:val="36"/>
                        </w:rPr>
                        <w:t>Candidate Reflection Sheet</w:t>
                      </w:r>
                    </w:p>
                    <w:p w:rsidR="00F16916" w:rsidRPr="005518F0" w:rsidRDefault="00F16916" w:rsidP="00F169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518F0">
                        <w:rPr>
                          <w:sz w:val="20"/>
                          <w:szCs w:val="20"/>
                        </w:rPr>
                        <w:t>Candidate completes after each observation conference—1/week.</w:t>
                      </w:r>
                    </w:p>
                  </w:txbxContent>
                </v:textbox>
              </v:shape>
            </w:pict>
          </mc:Fallback>
        </mc:AlternateContent>
      </w: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Default="00F16916" w:rsidP="00F16916">
      <w:pPr>
        <w:spacing w:line="276" w:lineRule="auto"/>
        <w:rPr>
          <w:b/>
          <w:sz w:val="18"/>
          <w:szCs w:val="18"/>
        </w:rPr>
      </w:pPr>
    </w:p>
    <w:p w:rsidR="00F16916" w:rsidRPr="00E404AE" w:rsidRDefault="00F16916" w:rsidP="00F16916">
      <w:pPr>
        <w:spacing w:line="360" w:lineRule="auto"/>
        <w:rPr>
          <w:sz w:val="20"/>
          <w:szCs w:val="20"/>
        </w:rPr>
      </w:pPr>
      <w:r w:rsidRPr="00E404AE">
        <w:rPr>
          <w:sz w:val="20"/>
          <w:szCs w:val="20"/>
        </w:rPr>
        <w:t>Student Teacher __________________________________</w:t>
      </w:r>
      <w:r w:rsidRPr="00E404AE">
        <w:rPr>
          <w:sz w:val="20"/>
          <w:szCs w:val="20"/>
        </w:rPr>
        <w:tab/>
        <w:t>Date ____________________</w:t>
      </w:r>
      <w:r w:rsidRPr="00E404AE">
        <w:rPr>
          <w:sz w:val="20"/>
          <w:szCs w:val="20"/>
        </w:rPr>
        <w:tab/>
        <w:t>Cooperating Teacher ______________________________</w:t>
      </w:r>
    </w:p>
    <w:p w:rsidR="00F16916" w:rsidRPr="00E404AE" w:rsidRDefault="00F16916" w:rsidP="00F16916">
      <w:pPr>
        <w:spacing w:line="360" w:lineRule="auto"/>
        <w:rPr>
          <w:sz w:val="20"/>
          <w:szCs w:val="20"/>
        </w:rPr>
      </w:pPr>
      <w:r w:rsidRPr="00E404AE">
        <w:rPr>
          <w:sz w:val="20"/>
          <w:szCs w:val="20"/>
        </w:rPr>
        <w:t>University Supervisor_______________________________________</w:t>
      </w:r>
      <w:r w:rsidRPr="00E404AE">
        <w:rPr>
          <w:sz w:val="20"/>
          <w:szCs w:val="20"/>
        </w:rPr>
        <w:tab/>
        <w:t>Grade and Subject __________________________________</w:t>
      </w:r>
    </w:p>
    <w:p w:rsidR="00F16916" w:rsidRDefault="00F16916" w:rsidP="00F16916">
      <w:pPr>
        <w:rPr>
          <w:b/>
          <w:sz w:val="18"/>
          <w:szCs w:val="18"/>
        </w:rPr>
      </w:pPr>
    </w:p>
    <w:p w:rsidR="00F16916" w:rsidRPr="005C7626" w:rsidRDefault="00F16916" w:rsidP="00F16916">
      <w:pPr>
        <w:rPr>
          <w:b/>
          <w:sz w:val="18"/>
          <w:szCs w:val="18"/>
        </w:rPr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1635"/>
        <w:gridCol w:w="6570"/>
      </w:tblGrid>
      <w:tr w:rsidR="00F16916" w:rsidTr="00F16916">
        <w:tc>
          <w:tcPr>
            <w:tcW w:w="6285" w:type="dxa"/>
            <w:shd w:val="clear" w:color="auto" w:fill="F2F2F2"/>
            <w:vAlign w:val="bottom"/>
          </w:tcPr>
          <w:p w:rsidR="00F16916" w:rsidRDefault="00F16916" w:rsidP="00D70E5F">
            <w:pPr>
              <w:jc w:val="center"/>
              <w:rPr>
                <w:b/>
              </w:rPr>
            </w:pPr>
            <w:r w:rsidRPr="00A125D9">
              <w:rPr>
                <w:b/>
              </w:rPr>
              <w:t>OWU Teaching Learning Outcomes</w:t>
            </w:r>
          </w:p>
          <w:p w:rsidR="00F16916" w:rsidRPr="005C7626" w:rsidRDefault="00F16916" w:rsidP="00D70E5F">
            <w:pPr>
              <w:jc w:val="center"/>
              <w:rPr>
                <w:b/>
                <w:sz w:val="18"/>
                <w:szCs w:val="18"/>
              </w:rPr>
            </w:pPr>
            <w:r w:rsidRPr="00A125D9">
              <w:rPr>
                <w:b/>
              </w:rPr>
              <w:t>I can…</w:t>
            </w:r>
          </w:p>
        </w:tc>
        <w:tc>
          <w:tcPr>
            <w:tcW w:w="1635" w:type="dxa"/>
            <w:shd w:val="clear" w:color="auto" w:fill="F2F2F2"/>
          </w:tcPr>
          <w:p w:rsidR="00F16916" w:rsidRPr="00A125D9" w:rsidRDefault="00F16916" w:rsidP="00D70E5F">
            <w:pPr>
              <w:rPr>
                <w:b/>
                <w:sz w:val="16"/>
                <w:szCs w:val="16"/>
              </w:rPr>
            </w:pPr>
            <w:r w:rsidRPr="00A125D9">
              <w:rPr>
                <w:b/>
                <w:sz w:val="16"/>
                <w:szCs w:val="16"/>
              </w:rPr>
              <w:t>S=Strength; G=Area for Growth</w:t>
            </w:r>
          </w:p>
        </w:tc>
        <w:tc>
          <w:tcPr>
            <w:tcW w:w="6570" w:type="dxa"/>
            <w:shd w:val="clear" w:color="auto" w:fill="F2F2F2"/>
            <w:vAlign w:val="bottom"/>
          </w:tcPr>
          <w:p w:rsidR="00F16916" w:rsidRPr="00A125D9" w:rsidRDefault="00F16916" w:rsidP="00D70E5F">
            <w:pPr>
              <w:jc w:val="center"/>
              <w:rPr>
                <w:b/>
              </w:rPr>
            </w:pPr>
            <w:r w:rsidRPr="00A125D9">
              <w:rPr>
                <w:b/>
              </w:rPr>
              <w:t>Evidence</w:t>
            </w:r>
          </w:p>
        </w:tc>
      </w:tr>
      <w:tr w:rsidR="00F16916" w:rsidTr="00F16916">
        <w:trPr>
          <w:cantSplit/>
          <w:trHeight w:val="593"/>
        </w:trPr>
        <w:tc>
          <w:tcPr>
            <w:tcW w:w="6285" w:type="dxa"/>
          </w:tcPr>
          <w:p w:rsidR="00F16916" w:rsidRPr="007A0314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7A0314">
              <w:rPr>
                <w:iCs/>
                <w:sz w:val="18"/>
                <w:szCs w:val="18"/>
              </w:rPr>
              <w:t xml:space="preserve">1) </w:t>
            </w:r>
            <w:r w:rsidRPr="007A0314">
              <w:rPr>
                <w:sz w:val="18"/>
                <w:szCs w:val="18"/>
              </w:rPr>
              <w:t xml:space="preserve">organize, integrate, and convey knowledge so that it is comprehensible to all students.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7A0314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7A0314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use the </w:t>
            </w:r>
            <w:r w:rsidRPr="007A0314">
              <w:rPr>
                <w:i/>
                <w:iCs/>
                <w:sz w:val="18"/>
                <w:szCs w:val="18"/>
              </w:rPr>
              <w:t xml:space="preserve">knowledge </w:t>
            </w:r>
            <w:r w:rsidRPr="007A0314">
              <w:rPr>
                <w:sz w:val="18"/>
                <w:szCs w:val="18"/>
              </w:rPr>
              <w:t xml:space="preserve">of human development, motivation, and learning, as well as individual and contextual factors </w:t>
            </w:r>
            <w:r>
              <w:rPr>
                <w:sz w:val="18"/>
                <w:szCs w:val="18"/>
              </w:rPr>
              <w:t xml:space="preserve">to </w:t>
            </w:r>
            <w:r w:rsidRPr="007A0314">
              <w:rPr>
                <w:sz w:val="18"/>
                <w:szCs w:val="18"/>
              </w:rPr>
              <w:t xml:space="preserve">develop instruction that is appropriate for all students.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7A0314" w:rsidRDefault="00F16916" w:rsidP="00C36503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7A0314">
              <w:rPr>
                <w:sz w:val="18"/>
                <w:szCs w:val="18"/>
              </w:rPr>
              <w:t>3) design, implement, and manage the learning environment in ways that support active student learning and</w:t>
            </w:r>
            <w:r>
              <w:rPr>
                <w:sz w:val="18"/>
                <w:szCs w:val="18"/>
              </w:rPr>
              <w:t xml:space="preserve"> independence for all students [paying particular attention to </w:t>
            </w:r>
            <w:r w:rsidRPr="007A0314">
              <w:rPr>
                <w:sz w:val="18"/>
                <w:szCs w:val="18"/>
              </w:rPr>
              <w:t>classroom organization, management, and curriculum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C4D3B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4) </w:t>
            </w:r>
            <w:r>
              <w:rPr>
                <w:i/>
                <w:iCs/>
                <w:sz w:val="18"/>
                <w:szCs w:val="18"/>
              </w:rPr>
              <w:t>use of a</w:t>
            </w:r>
            <w:r w:rsidRPr="00297080">
              <w:rPr>
                <w:sz w:val="18"/>
                <w:szCs w:val="18"/>
              </w:rPr>
              <w:t xml:space="preserve"> variety of instructional strategies and materials, including technology, that encourage student problem-solving, critical thinking and independent learning, and the </w:t>
            </w:r>
            <w:r w:rsidRPr="00297080">
              <w:rPr>
                <w:i/>
                <w:iCs/>
                <w:sz w:val="18"/>
                <w:szCs w:val="18"/>
              </w:rPr>
              <w:t xml:space="preserve">ability </w:t>
            </w:r>
            <w:r w:rsidRPr="00297080">
              <w:rPr>
                <w:sz w:val="18"/>
                <w:szCs w:val="18"/>
              </w:rPr>
              <w:t xml:space="preserve">to select and implement instructional strategies that account for and adapt to all contexts, learners, and content.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C4D3B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5) </w:t>
            </w:r>
            <w:r>
              <w:rPr>
                <w:i/>
                <w:iCs/>
                <w:sz w:val="18"/>
                <w:szCs w:val="18"/>
              </w:rPr>
              <w:t>use</w:t>
            </w:r>
            <w:r w:rsidRPr="00297080">
              <w:rPr>
                <w:i/>
                <w:iCs/>
                <w:sz w:val="18"/>
                <w:szCs w:val="18"/>
              </w:rPr>
              <w:t xml:space="preserve"> </w:t>
            </w:r>
            <w:r w:rsidRPr="00297080">
              <w:rPr>
                <w:sz w:val="18"/>
                <w:szCs w:val="18"/>
              </w:rPr>
              <w:t xml:space="preserve">of a variety of assessment strategies that are embedded in instruction and the use </w:t>
            </w:r>
            <w:r>
              <w:rPr>
                <w:sz w:val="18"/>
                <w:szCs w:val="18"/>
              </w:rPr>
              <w:t xml:space="preserve">of </w:t>
            </w:r>
            <w:r w:rsidRPr="00297080">
              <w:rPr>
                <w:sz w:val="18"/>
                <w:szCs w:val="18"/>
              </w:rPr>
              <w:t xml:space="preserve">formative and summative assessments to monitor and evaluate student learning, as well as to inform one’s own teaching.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C4D3B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 xml:space="preserve">demonstrate a </w:t>
            </w:r>
            <w:r w:rsidRPr="00297080">
              <w:rPr>
                <w:sz w:val="18"/>
                <w:szCs w:val="18"/>
              </w:rPr>
              <w:t xml:space="preserve">commitment to teaching as a viable, honorable profession.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C4D3B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foster</w:t>
            </w:r>
            <w:r w:rsidRPr="00297080">
              <w:rPr>
                <w:sz w:val="18"/>
                <w:szCs w:val="18"/>
              </w:rPr>
              <w:t xml:space="preserve"> collaborative relationships with colleagues, families and the larger community.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575"/>
        </w:trPr>
        <w:tc>
          <w:tcPr>
            <w:tcW w:w="6285" w:type="dxa"/>
          </w:tcPr>
          <w:p w:rsidR="00F16916" w:rsidRPr="002C4D3B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8) </w:t>
            </w:r>
            <w:r>
              <w:rPr>
                <w:sz w:val="18"/>
                <w:szCs w:val="18"/>
              </w:rPr>
              <w:t>demonstrate</w:t>
            </w:r>
            <w:r w:rsidRPr="00297080">
              <w:rPr>
                <w:sz w:val="18"/>
                <w:szCs w:val="18"/>
              </w:rPr>
              <w:t xml:space="preserve"> one’s efficacy as it relates to student learning. 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C4D3B" w:rsidRDefault="00F16916" w:rsidP="00C36503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9) </w:t>
            </w:r>
            <w:r>
              <w:rPr>
                <w:sz w:val="18"/>
                <w:szCs w:val="18"/>
              </w:rPr>
              <w:t xml:space="preserve">demonstrate </w:t>
            </w:r>
            <w:r w:rsidRPr="00297080">
              <w:rPr>
                <w:sz w:val="18"/>
                <w:szCs w:val="18"/>
              </w:rPr>
              <w:t xml:space="preserve">that democratic ideals </w:t>
            </w:r>
            <w:r w:rsidR="00C36503">
              <w:rPr>
                <w:sz w:val="18"/>
                <w:szCs w:val="18"/>
              </w:rPr>
              <w:t>o</w:t>
            </w:r>
            <w:r w:rsidRPr="00297080">
              <w:rPr>
                <w:sz w:val="18"/>
                <w:szCs w:val="18"/>
              </w:rPr>
              <w:t>f a multicultural society are foundation</w:t>
            </w:r>
            <w:r w:rsidR="00C36503">
              <w:rPr>
                <w:sz w:val="18"/>
                <w:szCs w:val="18"/>
              </w:rPr>
              <w:t>al</w:t>
            </w:r>
            <w:r w:rsidRPr="00297080">
              <w:rPr>
                <w:sz w:val="18"/>
                <w:szCs w:val="18"/>
              </w:rPr>
              <w:t xml:space="preserve"> </w:t>
            </w:r>
            <w:r w:rsidR="00C36503">
              <w:rPr>
                <w:sz w:val="18"/>
                <w:szCs w:val="18"/>
              </w:rPr>
              <w:t>t</w:t>
            </w:r>
            <w:r w:rsidRPr="00297080">
              <w:rPr>
                <w:sz w:val="18"/>
                <w:szCs w:val="18"/>
              </w:rPr>
              <w:t>o all teaching and learning.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</w:tc>
      </w:tr>
      <w:tr w:rsidR="00F16916" w:rsidTr="00F16916">
        <w:trPr>
          <w:cantSplit/>
          <w:trHeight w:val="720"/>
        </w:trPr>
        <w:tc>
          <w:tcPr>
            <w:tcW w:w="6285" w:type="dxa"/>
          </w:tcPr>
          <w:p w:rsidR="00F16916" w:rsidRPr="00297080" w:rsidRDefault="00F16916" w:rsidP="00D70E5F">
            <w:pPr>
              <w:pStyle w:val="Default"/>
              <w:ind w:left="252" w:hanging="252"/>
              <w:jc w:val="both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10) </w:t>
            </w:r>
            <w:r>
              <w:rPr>
                <w:sz w:val="18"/>
                <w:szCs w:val="18"/>
              </w:rPr>
              <w:t xml:space="preserve">engage in </w:t>
            </w:r>
            <w:r w:rsidRPr="00297080">
              <w:rPr>
                <w:sz w:val="18"/>
                <w:szCs w:val="18"/>
              </w:rPr>
              <w:t xml:space="preserve">reflective practice </w:t>
            </w:r>
            <w:r>
              <w:rPr>
                <w:sz w:val="18"/>
                <w:szCs w:val="18"/>
              </w:rPr>
              <w:t xml:space="preserve">and </w:t>
            </w:r>
            <w:r w:rsidR="00C36503">
              <w:rPr>
                <w:sz w:val="18"/>
                <w:szCs w:val="18"/>
              </w:rPr>
              <w:t xml:space="preserve">continuous </w:t>
            </w:r>
            <w:r w:rsidRPr="00297080">
              <w:rPr>
                <w:sz w:val="18"/>
                <w:szCs w:val="18"/>
              </w:rPr>
              <w:t>professional development.</w:t>
            </w:r>
          </w:p>
        </w:tc>
        <w:tc>
          <w:tcPr>
            <w:tcW w:w="1635" w:type="dxa"/>
          </w:tcPr>
          <w:p w:rsidR="00F16916" w:rsidRDefault="00F16916" w:rsidP="00D70E5F"/>
        </w:tc>
        <w:tc>
          <w:tcPr>
            <w:tcW w:w="6570" w:type="dxa"/>
          </w:tcPr>
          <w:p w:rsidR="00F16916" w:rsidRDefault="00F16916" w:rsidP="00D70E5F"/>
          <w:p w:rsidR="00F16916" w:rsidRDefault="00F16916" w:rsidP="00D70E5F"/>
          <w:p w:rsidR="00F16916" w:rsidRDefault="00F16916" w:rsidP="00D70E5F"/>
        </w:tc>
      </w:tr>
    </w:tbl>
    <w:p w:rsidR="00D70E5F" w:rsidRDefault="00D70E5F"/>
    <w:sectPr w:rsidR="00D70E5F" w:rsidSect="00F1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432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B2" w:rsidRDefault="00B948B2" w:rsidP="00F16916">
      <w:r>
        <w:separator/>
      </w:r>
    </w:p>
  </w:endnote>
  <w:endnote w:type="continuationSeparator" w:id="0">
    <w:p w:rsidR="00B948B2" w:rsidRDefault="00B948B2" w:rsidP="00F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A7" w:rsidRDefault="00D920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99" w:rsidRPr="00DC2099" w:rsidRDefault="00DC2099">
    <w:pPr>
      <w:pStyle w:val="Footer"/>
      <w:rPr>
        <w:sz w:val="16"/>
        <w:szCs w:val="16"/>
      </w:rPr>
    </w:pPr>
    <w:r w:rsidRPr="00DC2099">
      <w:rPr>
        <w:sz w:val="16"/>
        <w:szCs w:val="16"/>
      </w:rPr>
      <w:fldChar w:fldCharType="begin"/>
    </w:r>
    <w:r w:rsidRPr="00DC2099">
      <w:rPr>
        <w:sz w:val="16"/>
        <w:szCs w:val="16"/>
      </w:rPr>
      <w:instrText xml:space="preserve"> FILENAME  \p  \* MERGEFORMAT </w:instrText>
    </w:r>
    <w:r w:rsidRPr="00DC2099">
      <w:rPr>
        <w:sz w:val="16"/>
        <w:szCs w:val="16"/>
      </w:rPr>
      <w:fldChar w:fldCharType="separate"/>
    </w:r>
    <w:r w:rsidR="00A06356">
      <w:rPr>
        <w:noProof/>
        <w:sz w:val="16"/>
        <w:szCs w:val="16"/>
      </w:rPr>
      <w:t>H:\EDSHR</w:t>
    </w:r>
    <w:r w:rsidR="00D920A7">
      <w:rPr>
        <w:noProof/>
        <w:sz w:val="16"/>
        <w:szCs w:val="16"/>
      </w:rPr>
      <w:t>D\Student Teaching\Forms\CandidateReflectionSheet2014</w:t>
    </w:r>
    <w:r w:rsidR="00A06356">
      <w:rPr>
        <w:noProof/>
        <w:sz w:val="16"/>
        <w:szCs w:val="16"/>
      </w:rPr>
      <w:t>.doc</w:t>
    </w:r>
    <w:r w:rsidRPr="00DC209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A7" w:rsidRDefault="00D92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B2" w:rsidRDefault="00B948B2" w:rsidP="00F16916">
      <w:r>
        <w:separator/>
      </w:r>
    </w:p>
  </w:footnote>
  <w:footnote w:type="continuationSeparator" w:id="0">
    <w:p w:rsidR="00B948B2" w:rsidRDefault="00B948B2" w:rsidP="00F1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A7" w:rsidRDefault="00D920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A7" w:rsidRDefault="00D920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A7" w:rsidRDefault="00D92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16"/>
    <w:rsid w:val="000228C0"/>
    <w:rsid w:val="000F25B0"/>
    <w:rsid w:val="001F5146"/>
    <w:rsid w:val="002E3D45"/>
    <w:rsid w:val="00400695"/>
    <w:rsid w:val="009672DA"/>
    <w:rsid w:val="00A06356"/>
    <w:rsid w:val="00A35CB6"/>
    <w:rsid w:val="00B72E6E"/>
    <w:rsid w:val="00B948B2"/>
    <w:rsid w:val="00BD48B2"/>
    <w:rsid w:val="00C36503"/>
    <w:rsid w:val="00D70E5F"/>
    <w:rsid w:val="00D920A7"/>
    <w:rsid w:val="00DC2099"/>
    <w:rsid w:val="00E2737E"/>
    <w:rsid w:val="00F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7A24-0BE8-40BD-A24A-9C93D461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1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9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69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691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69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691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jekugler</dc:creator>
  <cp:keywords/>
  <dc:description/>
  <cp:lastModifiedBy>Douglas E. Thompson</cp:lastModifiedBy>
  <cp:revision>2</cp:revision>
  <cp:lastPrinted>2014-11-14T14:29:00Z</cp:lastPrinted>
  <dcterms:created xsi:type="dcterms:W3CDTF">2015-12-18T13:30:00Z</dcterms:created>
  <dcterms:modified xsi:type="dcterms:W3CDTF">2015-12-18T13:30:00Z</dcterms:modified>
</cp:coreProperties>
</file>